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47E" w:rsidRPr="0012245D" w:rsidRDefault="000E347E" w:rsidP="000E347E">
      <w:pPr>
        <w:spacing w:after="160" w:line="259" w:lineRule="auto"/>
        <w:rPr>
          <w:b/>
        </w:rPr>
      </w:pPr>
      <w:r w:rsidRPr="0012245D">
        <w:rPr>
          <w:b/>
        </w:rPr>
        <w:t>Supplementary Table 1: Mayi Kuwayu preliminary</w:t>
      </w:r>
      <w:r>
        <w:rPr>
          <w:b/>
        </w:rPr>
        <w:t xml:space="preserve"> phase postal</w:t>
      </w:r>
      <w:r w:rsidRPr="0012245D">
        <w:rPr>
          <w:b/>
        </w:rPr>
        <w:t xml:space="preserve"> response rates at 4 weeks, 28 November 2018</w:t>
      </w:r>
    </w:p>
    <w:tbl>
      <w:tblPr>
        <w:tblStyle w:val="TableGrid"/>
        <w:tblW w:w="14586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1649"/>
        <w:gridCol w:w="897"/>
        <w:gridCol w:w="662"/>
        <w:gridCol w:w="1313"/>
        <w:gridCol w:w="993"/>
        <w:gridCol w:w="992"/>
        <w:gridCol w:w="1417"/>
        <w:gridCol w:w="1134"/>
        <w:gridCol w:w="1418"/>
        <w:gridCol w:w="1134"/>
        <w:gridCol w:w="992"/>
        <w:gridCol w:w="992"/>
        <w:gridCol w:w="993"/>
      </w:tblGrid>
      <w:tr w:rsidR="000E347E" w:rsidTr="00AA7389">
        <w:trPr>
          <w:trHeight w:val="300"/>
        </w:trPr>
        <w:tc>
          <w:tcPr>
            <w:tcW w:w="1649" w:type="dxa"/>
            <w:noWrap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sz w:val="18"/>
                <w:szCs w:val="22"/>
              </w:rPr>
            </w:pPr>
          </w:p>
        </w:tc>
        <w:tc>
          <w:tcPr>
            <w:tcW w:w="12937" w:type="dxa"/>
            <w:gridSpan w:val="12"/>
          </w:tcPr>
          <w:p w:rsidR="000E347E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>Response at 4 weeks, 30 October 2018 – 28 November 2018</w:t>
            </w:r>
          </w:p>
        </w:tc>
      </w:tr>
      <w:tr w:rsidR="000E347E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sz w:val="18"/>
                <w:szCs w:val="22"/>
              </w:rPr>
            </w:pPr>
            <w:r w:rsidRPr="00783F08">
              <w:rPr>
                <w:sz w:val="18"/>
                <w:szCs w:val="22"/>
              </w:rPr>
              <w:t> </w:t>
            </w:r>
          </w:p>
        </w:tc>
        <w:tc>
          <w:tcPr>
            <w:tcW w:w="2872" w:type="dxa"/>
            <w:gridSpan w:val="3"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783F08">
              <w:rPr>
                <w:b/>
                <w:bCs/>
                <w:sz w:val="18"/>
                <w:szCs w:val="22"/>
              </w:rPr>
              <w:t>Major cities</w:t>
            </w:r>
          </w:p>
        </w:tc>
        <w:tc>
          <w:tcPr>
            <w:tcW w:w="3402" w:type="dxa"/>
            <w:gridSpan w:val="3"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>Regional</w:t>
            </w:r>
          </w:p>
        </w:tc>
        <w:tc>
          <w:tcPr>
            <w:tcW w:w="3686" w:type="dxa"/>
            <w:gridSpan w:val="3"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>Remote</w:t>
            </w:r>
          </w:p>
        </w:tc>
        <w:tc>
          <w:tcPr>
            <w:tcW w:w="2977" w:type="dxa"/>
            <w:gridSpan w:val="3"/>
          </w:tcPr>
          <w:p w:rsidR="000E347E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 xml:space="preserve">TOTAL </w:t>
            </w:r>
          </w:p>
        </w:tc>
      </w:tr>
      <w:tr w:rsidR="000E347E" w:rsidRPr="00783F08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sz w:val="18"/>
                <w:szCs w:val="22"/>
              </w:rPr>
            </w:pPr>
            <w:r w:rsidRPr="00783F08">
              <w:rPr>
                <w:sz w:val="18"/>
                <w:szCs w:val="22"/>
              </w:rPr>
              <w:t> </w:t>
            </w:r>
          </w:p>
        </w:tc>
        <w:tc>
          <w:tcPr>
            <w:tcW w:w="897" w:type="dxa"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783F08">
              <w:rPr>
                <w:b/>
                <w:bCs/>
                <w:sz w:val="18"/>
                <w:szCs w:val="22"/>
              </w:rPr>
              <w:t>n/N</w:t>
            </w:r>
          </w:p>
        </w:tc>
        <w:tc>
          <w:tcPr>
            <w:tcW w:w="662" w:type="dxa"/>
            <w:noWrap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783F08">
              <w:rPr>
                <w:b/>
                <w:bCs/>
                <w:sz w:val="18"/>
                <w:szCs w:val="22"/>
              </w:rPr>
              <w:t>R</w:t>
            </w:r>
            <w:r>
              <w:rPr>
                <w:b/>
                <w:bCs/>
                <w:sz w:val="18"/>
                <w:szCs w:val="22"/>
              </w:rPr>
              <w:t>esponse rate</w:t>
            </w:r>
            <w:r w:rsidRPr="00783F08">
              <w:rPr>
                <w:b/>
                <w:bCs/>
                <w:sz w:val="18"/>
                <w:szCs w:val="22"/>
              </w:rPr>
              <w:t xml:space="preserve"> (%)</w:t>
            </w:r>
          </w:p>
        </w:tc>
        <w:tc>
          <w:tcPr>
            <w:tcW w:w="1313" w:type="dxa"/>
            <w:noWrap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 xml:space="preserve">95% </w:t>
            </w:r>
            <w:r w:rsidRPr="00783F08">
              <w:rPr>
                <w:b/>
                <w:bCs/>
                <w:sz w:val="18"/>
                <w:szCs w:val="22"/>
              </w:rPr>
              <w:t>CI</w:t>
            </w:r>
          </w:p>
        </w:tc>
        <w:tc>
          <w:tcPr>
            <w:tcW w:w="993" w:type="dxa"/>
            <w:noWrap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783F08">
              <w:rPr>
                <w:b/>
                <w:bCs/>
                <w:sz w:val="18"/>
                <w:szCs w:val="22"/>
              </w:rPr>
              <w:t>n/N</w:t>
            </w:r>
          </w:p>
        </w:tc>
        <w:tc>
          <w:tcPr>
            <w:tcW w:w="992" w:type="dxa"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783F08">
              <w:rPr>
                <w:b/>
                <w:bCs/>
                <w:sz w:val="18"/>
                <w:szCs w:val="22"/>
              </w:rPr>
              <w:t>R</w:t>
            </w:r>
            <w:r>
              <w:rPr>
                <w:b/>
                <w:bCs/>
                <w:sz w:val="18"/>
                <w:szCs w:val="22"/>
              </w:rPr>
              <w:t>esponse rate</w:t>
            </w:r>
            <w:r w:rsidRPr="00783F08">
              <w:rPr>
                <w:b/>
                <w:bCs/>
                <w:sz w:val="18"/>
                <w:szCs w:val="22"/>
              </w:rPr>
              <w:t xml:space="preserve"> (%)</w:t>
            </w:r>
          </w:p>
        </w:tc>
        <w:tc>
          <w:tcPr>
            <w:tcW w:w="1417" w:type="dxa"/>
            <w:noWrap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>95% CI</w:t>
            </w:r>
          </w:p>
        </w:tc>
        <w:tc>
          <w:tcPr>
            <w:tcW w:w="1134" w:type="dxa"/>
            <w:noWrap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783F08">
              <w:rPr>
                <w:b/>
                <w:bCs/>
                <w:sz w:val="18"/>
                <w:szCs w:val="22"/>
              </w:rPr>
              <w:t>n/N</w:t>
            </w:r>
          </w:p>
        </w:tc>
        <w:tc>
          <w:tcPr>
            <w:tcW w:w="1418" w:type="dxa"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783F08">
              <w:rPr>
                <w:b/>
                <w:bCs/>
                <w:sz w:val="18"/>
                <w:szCs w:val="22"/>
              </w:rPr>
              <w:t>R</w:t>
            </w:r>
            <w:r>
              <w:rPr>
                <w:b/>
                <w:bCs/>
                <w:sz w:val="18"/>
                <w:szCs w:val="22"/>
              </w:rPr>
              <w:t>esponse rate</w:t>
            </w:r>
            <w:r w:rsidRPr="00783F08">
              <w:rPr>
                <w:b/>
                <w:bCs/>
                <w:sz w:val="18"/>
                <w:szCs w:val="22"/>
              </w:rPr>
              <w:t xml:space="preserve"> (%)</w:t>
            </w:r>
          </w:p>
        </w:tc>
        <w:tc>
          <w:tcPr>
            <w:tcW w:w="1134" w:type="dxa"/>
            <w:noWrap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 xml:space="preserve">95% </w:t>
            </w:r>
            <w:r w:rsidRPr="00783F08">
              <w:rPr>
                <w:b/>
                <w:bCs/>
                <w:sz w:val="18"/>
                <w:szCs w:val="22"/>
              </w:rPr>
              <w:t>CI</w:t>
            </w:r>
          </w:p>
        </w:tc>
        <w:tc>
          <w:tcPr>
            <w:tcW w:w="992" w:type="dxa"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783F08">
              <w:rPr>
                <w:b/>
                <w:bCs/>
                <w:sz w:val="18"/>
                <w:szCs w:val="22"/>
              </w:rPr>
              <w:t>n/N</w:t>
            </w:r>
          </w:p>
        </w:tc>
        <w:tc>
          <w:tcPr>
            <w:tcW w:w="992" w:type="dxa"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783F08">
              <w:rPr>
                <w:b/>
                <w:bCs/>
                <w:sz w:val="18"/>
                <w:szCs w:val="22"/>
              </w:rPr>
              <w:t>R</w:t>
            </w:r>
            <w:r>
              <w:rPr>
                <w:b/>
                <w:bCs/>
                <w:sz w:val="18"/>
                <w:szCs w:val="22"/>
              </w:rPr>
              <w:t>esponse rate</w:t>
            </w:r>
            <w:r w:rsidRPr="00783F08">
              <w:rPr>
                <w:b/>
                <w:bCs/>
                <w:sz w:val="18"/>
                <w:szCs w:val="22"/>
              </w:rPr>
              <w:t xml:space="preserve"> (%)</w:t>
            </w:r>
          </w:p>
        </w:tc>
        <w:tc>
          <w:tcPr>
            <w:tcW w:w="993" w:type="dxa"/>
          </w:tcPr>
          <w:p w:rsidR="000E347E" w:rsidRPr="00783F08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 xml:space="preserve">95% </w:t>
            </w:r>
            <w:r w:rsidRPr="00783F08">
              <w:rPr>
                <w:b/>
                <w:bCs/>
                <w:sz w:val="18"/>
                <w:szCs w:val="22"/>
              </w:rPr>
              <w:t>CI</w:t>
            </w:r>
          </w:p>
        </w:tc>
      </w:tr>
      <w:tr w:rsidR="000E347E" w:rsidTr="00AA7389">
        <w:trPr>
          <w:trHeight w:val="300"/>
        </w:trPr>
        <w:tc>
          <w:tcPr>
            <w:tcW w:w="1649" w:type="dxa"/>
            <w:noWrap/>
          </w:tcPr>
          <w:p w:rsidR="000E347E" w:rsidRPr="00374F73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374F73">
              <w:rPr>
                <w:b/>
                <w:bCs/>
                <w:sz w:val="18"/>
                <w:szCs w:val="22"/>
              </w:rPr>
              <w:t>Male</w:t>
            </w:r>
          </w:p>
        </w:tc>
        <w:tc>
          <w:tcPr>
            <w:tcW w:w="897" w:type="dxa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</w:p>
        </w:tc>
        <w:tc>
          <w:tcPr>
            <w:tcW w:w="662" w:type="dxa"/>
            <w:noWrap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</w:p>
        </w:tc>
        <w:tc>
          <w:tcPr>
            <w:tcW w:w="1313" w:type="dxa"/>
            <w:noWrap/>
          </w:tcPr>
          <w:p w:rsidR="000E347E" w:rsidRDefault="000E347E" w:rsidP="00AA7389">
            <w:pPr>
              <w:pStyle w:val="BodyText"/>
              <w:spacing w:line="240" w:lineRule="auto"/>
              <w:rPr>
                <w:color w:val="000000"/>
                <w:sz w:val="18"/>
                <w:szCs w:val="22"/>
              </w:rPr>
            </w:pPr>
          </w:p>
        </w:tc>
        <w:tc>
          <w:tcPr>
            <w:tcW w:w="993" w:type="dxa"/>
            <w:noWrap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</w:p>
        </w:tc>
        <w:tc>
          <w:tcPr>
            <w:tcW w:w="992" w:type="dxa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</w:p>
        </w:tc>
        <w:tc>
          <w:tcPr>
            <w:tcW w:w="1417" w:type="dxa"/>
            <w:noWrap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</w:p>
        </w:tc>
        <w:tc>
          <w:tcPr>
            <w:tcW w:w="1134" w:type="dxa"/>
            <w:noWrap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</w:p>
        </w:tc>
        <w:tc>
          <w:tcPr>
            <w:tcW w:w="1418" w:type="dxa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</w:p>
        </w:tc>
        <w:tc>
          <w:tcPr>
            <w:tcW w:w="1134" w:type="dxa"/>
            <w:noWrap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</w:p>
        </w:tc>
        <w:tc>
          <w:tcPr>
            <w:tcW w:w="992" w:type="dxa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</w:p>
        </w:tc>
        <w:tc>
          <w:tcPr>
            <w:tcW w:w="992" w:type="dxa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</w:p>
        </w:tc>
        <w:tc>
          <w:tcPr>
            <w:tcW w:w="993" w:type="dxa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</w:p>
        </w:tc>
      </w:tr>
      <w:tr w:rsidR="000E347E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E24099" w:rsidRDefault="000E347E" w:rsidP="00AA7389">
            <w:pPr>
              <w:pStyle w:val="BodyText"/>
              <w:spacing w:line="240" w:lineRule="auto"/>
              <w:rPr>
                <w:bCs/>
                <w:sz w:val="18"/>
                <w:szCs w:val="22"/>
              </w:rPr>
            </w:pPr>
            <w:r w:rsidRPr="00E24099">
              <w:rPr>
                <w:bCs/>
                <w:sz w:val="18"/>
                <w:szCs w:val="22"/>
              </w:rPr>
              <w:t>16-24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6/821</w:t>
            </w:r>
          </w:p>
        </w:tc>
        <w:tc>
          <w:tcPr>
            <w:tcW w:w="662" w:type="dxa"/>
            <w:noWrap/>
            <w:vAlign w:val="center"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 xml:space="preserve"> 0.3–1.6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5/1178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1417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0.1–1.0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2/523</w:t>
            </w:r>
          </w:p>
        </w:tc>
        <w:tc>
          <w:tcPr>
            <w:tcW w:w="1418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&lt;0.1–1.4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14/2522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0.6</w:t>
            </w:r>
          </w:p>
        </w:tc>
        <w:tc>
          <w:tcPr>
            <w:tcW w:w="993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0.3–0.9</w:t>
            </w:r>
          </w:p>
        </w:tc>
      </w:tr>
      <w:tr w:rsidR="000E347E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E24099" w:rsidRDefault="000E347E" w:rsidP="00AA7389">
            <w:pPr>
              <w:pStyle w:val="BodyText"/>
              <w:spacing w:line="240" w:lineRule="auto"/>
              <w:rPr>
                <w:bCs/>
                <w:sz w:val="18"/>
                <w:szCs w:val="22"/>
              </w:rPr>
            </w:pPr>
            <w:r w:rsidRPr="00E24099">
              <w:rPr>
                <w:bCs/>
                <w:sz w:val="18"/>
                <w:szCs w:val="22"/>
              </w:rPr>
              <w:t>25-34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8/857</w:t>
            </w:r>
          </w:p>
        </w:tc>
        <w:tc>
          <w:tcPr>
            <w:tcW w:w="662" w:type="dxa"/>
            <w:noWrap/>
            <w:vAlign w:val="center"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0.4–1.8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7/1101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0.6</w:t>
            </w:r>
          </w:p>
        </w:tc>
        <w:tc>
          <w:tcPr>
            <w:tcW w:w="1417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0.3–1.3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2/512</w:t>
            </w:r>
          </w:p>
        </w:tc>
        <w:tc>
          <w:tcPr>
            <w:tcW w:w="1418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&lt;0.1–1.4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17/2470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0.7</w:t>
            </w:r>
          </w:p>
        </w:tc>
        <w:tc>
          <w:tcPr>
            <w:tcW w:w="993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0.4–1.1</w:t>
            </w:r>
          </w:p>
        </w:tc>
      </w:tr>
      <w:tr w:rsidR="000E347E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E24099" w:rsidRDefault="000E347E" w:rsidP="00AA7389">
            <w:pPr>
              <w:pStyle w:val="BodyText"/>
              <w:spacing w:line="240" w:lineRule="auto"/>
              <w:rPr>
                <w:bCs/>
                <w:sz w:val="18"/>
                <w:szCs w:val="22"/>
              </w:rPr>
            </w:pPr>
            <w:r w:rsidRPr="00E24099">
              <w:rPr>
                <w:bCs/>
                <w:sz w:val="18"/>
                <w:szCs w:val="22"/>
              </w:rPr>
              <w:t>35-49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14/708</w:t>
            </w:r>
          </w:p>
        </w:tc>
        <w:tc>
          <w:tcPr>
            <w:tcW w:w="662" w:type="dxa"/>
            <w:noWrap/>
            <w:vAlign w:val="center"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1.1–3.3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11/946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1417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0.6–2.1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1/541</w:t>
            </w:r>
          </w:p>
        </w:tc>
        <w:tc>
          <w:tcPr>
            <w:tcW w:w="1418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&lt;0.1–1.0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27/2195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1.2</w:t>
            </w:r>
          </w:p>
        </w:tc>
        <w:tc>
          <w:tcPr>
            <w:tcW w:w="993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0.8–1.8</w:t>
            </w:r>
          </w:p>
        </w:tc>
      </w:tr>
      <w:tr w:rsidR="000E347E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E24099" w:rsidRDefault="000E347E" w:rsidP="00AA7389">
            <w:pPr>
              <w:pStyle w:val="BodyText"/>
              <w:spacing w:line="240" w:lineRule="auto"/>
              <w:rPr>
                <w:bCs/>
                <w:sz w:val="18"/>
                <w:szCs w:val="22"/>
              </w:rPr>
            </w:pPr>
            <w:r>
              <w:rPr>
                <w:bCs/>
                <w:sz w:val="18"/>
                <w:szCs w:val="22"/>
              </w:rPr>
              <w:t>≥</w:t>
            </w:r>
            <w:r w:rsidRPr="00E24099">
              <w:rPr>
                <w:bCs/>
                <w:sz w:val="18"/>
                <w:szCs w:val="22"/>
              </w:rPr>
              <w:t>50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39/756</w:t>
            </w:r>
          </w:p>
        </w:tc>
        <w:tc>
          <w:tcPr>
            <w:tcW w:w="662" w:type="dxa"/>
            <w:noWrap/>
            <w:vAlign w:val="center"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5.2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3.7–7.0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53/1017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5.2</w:t>
            </w:r>
          </w:p>
        </w:tc>
        <w:tc>
          <w:tcPr>
            <w:tcW w:w="1417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3.9–6.8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11/547</w:t>
            </w:r>
          </w:p>
        </w:tc>
        <w:tc>
          <w:tcPr>
            <w:tcW w:w="1418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1.0–3.6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103/2320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4.4</w:t>
            </w:r>
          </w:p>
        </w:tc>
        <w:tc>
          <w:tcPr>
            <w:tcW w:w="993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20"/>
              </w:rPr>
            </w:pPr>
            <w:r>
              <w:rPr>
                <w:color w:val="000000"/>
                <w:sz w:val="20"/>
              </w:rPr>
              <w:t>3.6–5.4</w:t>
            </w:r>
          </w:p>
        </w:tc>
      </w:tr>
      <w:tr w:rsidR="000E347E" w:rsidRPr="00783F08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374F73" w:rsidRDefault="000E347E" w:rsidP="00AA7389">
            <w:pPr>
              <w:pStyle w:val="BodyText"/>
              <w:spacing w:line="240" w:lineRule="auto"/>
              <w:rPr>
                <w:bCs/>
                <w:sz w:val="18"/>
                <w:szCs w:val="22"/>
              </w:rPr>
            </w:pPr>
            <w:r w:rsidRPr="00374F73">
              <w:rPr>
                <w:bCs/>
                <w:sz w:val="18"/>
                <w:szCs w:val="22"/>
              </w:rPr>
              <w:t>All male</w:t>
            </w:r>
          </w:p>
        </w:tc>
        <w:tc>
          <w:tcPr>
            <w:tcW w:w="897" w:type="dxa"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bCs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70/3142</w:t>
            </w:r>
          </w:p>
        </w:tc>
        <w:tc>
          <w:tcPr>
            <w:tcW w:w="662" w:type="dxa"/>
            <w:noWrap/>
            <w:vAlign w:val="center"/>
            <w:hideMark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bCs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2.2</w:t>
            </w:r>
          </w:p>
        </w:tc>
        <w:tc>
          <w:tcPr>
            <w:tcW w:w="1313" w:type="dxa"/>
            <w:noWrap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1.7–2.8</w:t>
            </w:r>
          </w:p>
        </w:tc>
        <w:tc>
          <w:tcPr>
            <w:tcW w:w="993" w:type="dxa"/>
            <w:noWrap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77/4242</w:t>
            </w:r>
          </w:p>
        </w:tc>
        <w:tc>
          <w:tcPr>
            <w:tcW w:w="992" w:type="dxa"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1.8</w:t>
            </w:r>
          </w:p>
        </w:tc>
        <w:tc>
          <w:tcPr>
            <w:tcW w:w="1417" w:type="dxa"/>
            <w:noWrap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1.4–2.3</w:t>
            </w:r>
          </w:p>
        </w:tc>
        <w:tc>
          <w:tcPr>
            <w:tcW w:w="1134" w:type="dxa"/>
            <w:noWrap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17/2123</w:t>
            </w:r>
          </w:p>
        </w:tc>
        <w:tc>
          <w:tcPr>
            <w:tcW w:w="1418" w:type="dxa"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34" w:type="dxa"/>
            <w:noWrap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0.5–1.3</w:t>
            </w:r>
          </w:p>
        </w:tc>
        <w:tc>
          <w:tcPr>
            <w:tcW w:w="992" w:type="dxa"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166/9507</w:t>
            </w:r>
          </w:p>
        </w:tc>
        <w:tc>
          <w:tcPr>
            <w:tcW w:w="992" w:type="dxa"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1.7</w:t>
            </w:r>
          </w:p>
        </w:tc>
        <w:tc>
          <w:tcPr>
            <w:tcW w:w="993" w:type="dxa"/>
            <w:vAlign w:val="center"/>
          </w:tcPr>
          <w:p w:rsidR="000E347E" w:rsidRPr="001A652A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 xml:space="preserve"> 1.5–2.0</w:t>
            </w:r>
          </w:p>
        </w:tc>
      </w:tr>
      <w:tr w:rsidR="000E347E" w:rsidRPr="00783F08" w:rsidTr="00AA7389">
        <w:trPr>
          <w:trHeight w:val="300"/>
        </w:trPr>
        <w:tc>
          <w:tcPr>
            <w:tcW w:w="1649" w:type="dxa"/>
            <w:noWrap/>
          </w:tcPr>
          <w:p w:rsidR="000E347E" w:rsidRPr="00374F73" w:rsidRDefault="000E347E" w:rsidP="00AA7389">
            <w:pPr>
              <w:pStyle w:val="BodyText"/>
              <w:spacing w:line="240" w:lineRule="auto"/>
              <w:rPr>
                <w:b/>
                <w:bCs/>
                <w:sz w:val="18"/>
                <w:szCs w:val="22"/>
              </w:rPr>
            </w:pPr>
            <w:r w:rsidRPr="00374F73">
              <w:rPr>
                <w:b/>
                <w:bCs/>
                <w:sz w:val="18"/>
                <w:szCs w:val="22"/>
              </w:rPr>
              <w:t>Female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662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noWrap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3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0E347E" w:rsidRPr="00783F08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E24099" w:rsidRDefault="000E347E" w:rsidP="00AA7389">
            <w:pPr>
              <w:pStyle w:val="BodyText"/>
              <w:spacing w:line="240" w:lineRule="auto"/>
              <w:rPr>
                <w:bCs/>
                <w:sz w:val="18"/>
                <w:szCs w:val="22"/>
              </w:rPr>
            </w:pPr>
            <w:r w:rsidRPr="00E24099">
              <w:rPr>
                <w:bCs/>
                <w:sz w:val="18"/>
                <w:szCs w:val="22"/>
              </w:rPr>
              <w:t>16-24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17/928</w:t>
            </w:r>
          </w:p>
        </w:tc>
        <w:tc>
          <w:tcPr>
            <w:tcW w:w="662" w:type="dxa"/>
            <w:noWrap/>
            <w:vAlign w:val="center"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1.8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1.1–2.9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23/1267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1.8</w:t>
            </w:r>
          </w:p>
        </w:tc>
        <w:tc>
          <w:tcPr>
            <w:tcW w:w="1417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1.2–2.7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2/553</w:t>
            </w:r>
          </w:p>
        </w:tc>
        <w:tc>
          <w:tcPr>
            <w:tcW w:w="1418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&lt;0.1–1.3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42/2748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1.5</w:t>
            </w:r>
          </w:p>
        </w:tc>
        <w:tc>
          <w:tcPr>
            <w:tcW w:w="993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1.1–2.1</w:t>
            </w:r>
          </w:p>
        </w:tc>
      </w:tr>
      <w:tr w:rsidR="000E347E" w:rsidRPr="00783F08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E24099" w:rsidRDefault="000E347E" w:rsidP="00AA7389">
            <w:pPr>
              <w:pStyle w:val="BodyText"/>
              <w:spacing w:line="240" w:lineRule="auto"/>
              <w:rPr>
                <w:bCs/>
                <w:sz w:val="18"/>
                <w:szCs w:val="22"/>
              </w:rPr>
            </w:pPr>
            <w:r w:rsidRPr="00E24099">
              <w:rPr>
                <w:bCs/>
                <w:sz w:val="18"/>
                <w:szCs w:val="22"/>
              </w:rPr>
              <w:t>25-34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12/964</w:t>
            </w:r>
          </w:p>
        </w:tc>
        <w:tc>
          <w:tcPr>
            <w:tcW w:w="662" w:type="dxa"/>
            <w:noWrap/>
            <w:vAlign w:val="center"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0.6–2.2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14/1148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1417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0.7–2.0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1/583</w:t>
            </w:r>
          </w:p>
        </w:tc>
        <w:tc>
          <w:tcPr>
            <w:tcW w:w="1418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&lt;0.1–1.0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27/2695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1.0</w:t>
            </w:r>
          </w:p>
        </w:tc>
        <w:tc>
          <w:tcPr>
            <w:tcW w:w="993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0.7–1.5</w:t>
            </w:r>
          </w:p>
        </w:tc>
      </w:tr>
      <w:tr w:rsidR="000E347E" w:rsidRPr="00783F08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E24099" w:rsidRDefault="000E347E" w:rsidP="00AA7389">
            <w:pPr>
              <w:pStyle w:val="BodyText"/>
              <w:spacing w:line="240" w:lineRule="auto"/>
              <w:rPr>
                <w:bCs/>
                <w:sz w:val="18"/>
                <w:szCs w:val="22"/>
              </w:rPr>
            </w:pPr>
            <w:r w:rsidRPr="00E24099">
              <w:rPr>
                <w:bCs/>
                <w:sz w:val="18"/>
                <w:szCs w:val="22"/>
              </w:rPr>
              <w:t>35-49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19/803</w:t>
            </w:r>
          </w:p>
        </w:tc>
        <w:tc>
          <w:tcPr>
            <w:tcW w:w="662" w:type="dxa"/>
            <w:noWrap/>
            <w:vAlign w:val="center"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2.4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1.4–3.7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14/1005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1.4</w:t>
            </w:r>
          </w:p>
        </w:tc>
        <w:tc>
          <w:tcPr>
            <w:tcW w:w="1417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0.8–2.3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1/613</w:t>
            </w:r>
          </w:p>
        </w:tc>
        <w:tc>
          <w:tcPr>
            <w:tcW w:w="1418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&lt;0.1–0.9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34/2421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1.4</w:t>
            </w:r>
          </w:p>
        </w:tc>
        <w:tc>
          <w:tcPr>
            <w:tcW w:w="993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1.0–2.0</w:t>
            </w:r>
          </w:p>
        </w:tc>
      </w:tr>
      <w:tr w:rsidR="000E347E" w:rsidRPr="00783F08" w:rsidTr="00AA7389">
        <w:trPr>
          <w:trHeight w:val="300"/>
        </w:trPr>
        <w:tc>
          <w:tcPr>
            <w:tcW w:w="1649" w:type="dxa"/>
            <w:noWrap/>
            <w:hideMark/>
          </w:tcPr>
          <w:p w:rsidR="000E347E" w:rsidRPr="00E24099" w:rsidRDefault="000E347E" w:rsidP="00AA7389">
            <w:pPr>
              <w:pStyle w:val="BodyText"/>
              <w:spacing w:line="240" w:lineRule="auto"/>
              <w:rPr>
                <w:bCs/>
                <w:sz w:val="18"/>
                <w:szCs w:val="22"/>
              </w:rPr>
            </w:pPr>
            <w:r>
              <w:rPr>
                <w:bCs/>
                <w:sz w:val="18"/>
                <w:szCs w:val="22"/>
              </w:rPr>
              <w:t>≥</w:t>
            </w:r>
            <w:r w:rsidRPr="00E24099">
              <w:rPr>
                <w:bCs/>
                <w:sz w:val="18"/>
                <w:szCs w:val="22"/>
              </w:rPr>
              <w:t>50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44/886</w:t>
            </w:r>
          </w:p>
        </w:tc>
        <w:tc>
          <w:tcPr>
            <w:tcW w:w="662" w:type="dxa"/>
            <w:noWrap/>
            <w:vAlign w:val="center"/>
            <w:hideMark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5.0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3.6–6.6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59/1148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5.1</w:t>
            </w:r>
          </w:p>
        </w:tc>
        <w:tc>
          <w:tcPr>
            <w:tcW w:w="1417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3.9–6.6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10/595</w:t>
            </w:r>
          </w:p>
        </w:tc>
        <w:tc>
          <w:tcPr>
            <w:tcW w:w="1418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1.7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0.8–3.1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113/2629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4.3</w:t>
            </w:r>
          </w:p>
        </w:tc>
        <w:tc>
          <w:tcPr>
            <w:tcW w:w="993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3.6–5.1</w:t>
            </w:r>
          </w:p>
        </w:tc>
      </w:tr>
      <w:tr w:rsidR="000E347E" w:rsidRPr="00783F08" w:rsidTr="00AA7389">
        <w:trPr>
          <w:trHeight w:val="300"/>
        </w:trPr>
        <w:tc>
          <w:tcPr>
            <w:tcW w:w="1649" w:type="dxa"/>
            <w:noWrap/>
          </w:tcPr>
          <w:p w:rsidR="000E347E" w:rsidRPr="00374F73" w:rsidRDefault="000E347E" w:rsidP="00AA7389">
            <w:pPr>
              <w:pStyle w:val="BodyText"/>
              <w:spacing w:line="240" w:lineRule="auto"/>
              <w:rPr>
                <w:bCs/>
                <w:sz w:val="18"/>
                <w:szCs w:val="22"/>
              </w:rPr>
            </w:pPr>
            <w:r w:rsidRPr="00374F73">
              <w:rPr>
                <w:bCs/>
                <w:sz w:val="18"/>
                <w:szCs w:val="22"/>
              </w:rPr>
              <w:t>All female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92/3581</w:t>
            </w:r>
          </w:p>
        </w:tc>
        <w:tc>
          <w:tcPr>
            <w:tcW w:w="662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2.6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2.1–3.1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111/4568</w:t>
            </w:r>
          </w:p>
        </w:tc>
        <w:tc>
          <w:tcPr>
            <w:tcW w:w="992" w:type="dxa"/>
            <w:vAlign w:val="center"/>
          </w:tcPr>
          <w:p w:rsidR="000E347E" w:rsidRPr="000C44DD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2.4</w:t>
            </w:r>
          </w:p>
        </w:tc>
        <w:tc>
          <w:tcPr>
            <w:tcW w:w="1417" w:type="dxa"/>
            <w:noWrap/>
            <w:vAlign w:val="center"/>
          </w:tcPr>
          <w:p w:rsidR="000E347E" w:rsidRPr="000C44DD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2.0-2.9</w:t>
            </w:r>
          </w:p>
        </w:tc>
        <w:tc>
          <w:tcPr>
            <w:tcW w:w="1134" w:type="dxa"/>
            <w:noWrap/>
            <w:vAlign w:val="center"/>
          </w:tcPr>
          <w:p w:rsidR="000E347E" w:rsidRPr="000C44DD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15/2344</w:t>
            </w:r>
          </w:p>
        </w:tc>
        <w:tc>
          <w:tcPr>
            <w:tcW w:w="1418" w:type="dxa"/>
            <w:vAlign w:val="center"/>
          </w:tcPr>
          <w:p w:rsidR="000E347E" w:rsidRPr="000C44DD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34" w:type="dxa"/>
            <w:noWrap/>
            <w:vAlign w:val="center"/>
          </w:tcPr>
          <w:p w:rsidR="000E347E" w:rsidRPr="000C44DD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0.4–1.1</w:t>
            </w:r>
          </w:p>
        </w:tc>
        <w:tc>
          <w:tcPr>
            <w:tcW w:w="992" w:type="dxa"/>
            <w:vAlign w:val="center"/>
          </w:tcPr>
          <w:p w:rsidR="000E347E" w:rsidRPr="00374F73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218/10493</w:t>
            </w:r>
          </w:p>
        </w:tc>
        <w:tc>
          <w:tcPr>
            <w:tcW w:w="992" w:type="dxa"/>
            <w:vAlign w:val="center"/>
          </w:tcPr>
          <w:p w:rsidR="000E347E" w:rsidRPr="000C44DD" w:rsidRDefault="000E347E" w:rsidP="00AA7389">
            <w:pPr>
              <w:pStyle w:val="BodyText"/>
              <w:spacing w:line="240" w:lineRule="auto"/>
              <w:jc w:val="right"/>
              <w:rPr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2.1</w:t>
            </w:r>
          </w:p>
        </w:tc>
        <w:tc>
          <w:tcPr>
            <w:tcW w:w="993" w:type="dxa"/>
            <w:vAlign w:val="center"/>
          </w:tcPr>
          <w:p w:rsidR="000E347E" w:rsidRPr="000C44DD" w:rsidRDefault="000E347E" w:rsidP="00AA7389">
            <w:pPr>
              <w:pStyle w:val="BodyText"/>
              <w:spacing w:line="240" w:lineRule="auto"/>
              <w:jc w:val="right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 xml:space="preserve"> 1.8–2.4</w:t>
            </w:r>
          </w:p>
        </w:tc>
      </w:tr>
      <w:tr w:rsidR="000E347E" w:rsidRPr="00783F08" w:rsidTr="00AA7389">
        <w:trPr>
          <w:trHeight w:val="300"/>
        </w:trPr>
        <w:tc>
          <w:tcPr>
            <w:tcW w:w="1649" w:type="dxa"/>
            <w:noWrap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b/>
                <w:bCs/>
                <w:sz w:val="18"/>
                <w:szCs w:val="22"/>
              </w:rPr>
            </w:pPr>
            <w:r w:rsidRPr="00783F08">
              <w:rPr>
                <w:b/>
                <w:bCs/>
                <w:sz w:val="18"/>
                <w:szCs w:val="22"/>
              </w:rPr>
              <w:t xml:space="preserve">TOTAL </w:t>
            </w:r>
          </w:p>
        </w:tc>
        <w:tc>
          <w:tcPr>
            <w:tcW w:w="897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b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167/6723</w:t>
            </w:r>
          </w:p>
        </w:tc>
        <w:tc>
          <w:tcPr>
            <w:tcW w:w="662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b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31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b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2.1–2.9</w:t>
            </w:r>
          </w:p>
        </w:tc>
        <w:tc>
          <w:tcPr>
            <w:tcW w:w="993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b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194/8810</w:t>
            </w:r>
          </w:p>
        </w:tc>
        <w:tc>
          <w:tcPr>
            <w:tcW w:w="992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b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2.2</w:t>
            </w:r>
          </w:p>
        </w:tc>
        <w:tc>
          <w:tcPr>
            <w:tcW w:w="1417" w:type="dxa"/>
            <w:noWrap/>
            <w:vAlign w:val="center"/>
          </w:tcPr>
          <w:p w:rsidR="000E347E" w:rsidRPr="005B37E9" w:rsidRDefault="000E347E" w:rsidP="00AA7389">
            <w:pPr>
              <w:pStyle w:val="BodyText"/>
              <w:spacing w:line="240" w:lineRule="auto"/>
              <w:jc w:val="right"/>
              <w:rPr>
                <w:b/>
                <w:color w:val="000000"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1.9–2.5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b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33/4467</w:t>
            </w:r>
          </w:p>
        </w:tc>
        <w:tc>
          <w:tcPr>
            <w:tcW w:w="1418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b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134" w:type="dxa"/>
            <w:noWrap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b/>
                <w:color w:val="000000"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0.5-1.0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b/>
                <w:color w:val="000000"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390/20000</w:t>
            </w:r>
          </w:p>
        </w:tc>
        <w:tc>
          <w:tcPr>
            <w:tcW w:w="992" w:type="dxa"/>
            <w:vAlign w:val="center"/>
          </w:tcPr>
          <w:p w:rsidR="000E347E" w:rsidRDefault="000E347E" w:rsidP="00AA7389">
            <w:pPr>
              <w:pStyle w:val="BodyText"/>
              <w:spacing w:line="240" w:lineRule="auto"/>
              <w:jc w:val="right"/>
              <w:rPr>
                <w:b/>
                <w:color w:val="000000"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2.0</w:t>
            </w:r>
          </w:p>
        </w:tc>
        <w:tc>
          <w:tcPr>
            <w:tcW w:w="993" w:type="dxa"/>
            <w:vAlign w:val="center"/>
          </w:tcPr>
          <w:p w:rsidR="000E347E" w:rsidRPr="00783F08" w:rsidRDefault="000E347E" w:rsidP="00AA7389">
            <w:pPr>
              <w:pStyle w:val="BodyText"/>
              <w:spacing w:line="240" w:lineRule="auto"/>
              <w:jc w:val="right"/>
              <w:rPr>
                <w:b/>
                <w:color w:val="000000"/>
                <w:sz w:val="18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1.8–2.2</w:t>
            </w:r>
          </w:p>
        </w:tc>
      </w:tr>
    </w:tbl>
    <w:p w:rsidR="000E347E" w:rsidRDefault="000E347E" w:rsidP="000E347E">
      <w:pPr>
        <w:pStyle w:val="NoSpacing"/>
        <w:rPr>
          <w:sz w:val="20"/>
        </w:rPr>
      </w:pPr>
      <w:r>
        <w:rPr>
          <w:sz w:val="20"/>
        </w:rPr>
        <w:t xml:space="preserve">*18 participants were missing one or more </w:t>
      </w:r>
      <w:r w:rsidRPr="00B95CCD">
        <w:rPr>
          <w:sz w:val="20"/>
        </w:rPr>
        <w:t>variable of interest</w:t>
      </w:r>
      <w:r>
        <w:rPr>
          <w:sz w:val="20"/>
        </w:rPr>
        <w:t xml:space="preserve"> </w:t>
      </w:r>
      <w:r w:rsidRPr="00B95CCD">
        <w:rPr>
          <w:sz w:val="20"/>
        </w:rPr>
        <w:t>(gender, remoteness, age group)</w:t>
      </w:r>
      <w:r>
        <w:rPr>
          <w:sz w:val="20"/>
        </w:rPr>
        <w:t xml:space="preserve"> </w:t>
      </w:r>
      <w:r w:rsidRPr="00B95CCD">
        <w:rPr>
          <w:sz w:val="20"/>
        </w:rPr>
        <w:t>or report</w:t>
      </w:r>
      <w:r>
        <w:rPr>
          <w:sz w:val="20"/>
        </w:rPr>
        <w:t>ed</w:t>
      </w:r>
      <w:r w:rsidRPr="00B95CCD">
        <w:rPr>
          <w:sz w:val="20"/>
        </w:rPr>
        <w:t xml:space="preserve"> “other” to gender. These missing/other data are not presented in the stratified results but are included in the total</w:t>
      </w:r>
      <w:r>
        <w:rPr>
          <w:sz w:val="20"/>
        </w:rPr>
        <w:t>s</w:t>
      </w:r>
      <w:r w:rsidRPr="00B95CCD">
        <w:rPr>
          <w:sz w:val="20"/>
        </w:rPr>
        <w:t>.</w:t>
      </w:r>
    </w:p>
    <w:p w:rsidR="000E347E" w:rsidRDefault="000E347E" w:rsidP="000E347E">
      <w:pPr>
        <w:spacing w:after="160" w:line="259" w:lineRule="auto"/>
      </w:pPr>
    </w:p>
    <w:p w:rsidR="000E347E" w:rsidRDefault="000E347E" w:rsidP="000E347E">
      <w:pPr>
        <w:spacing w:after="160" w:line="259" w:lineRule="auto"/>
      </w:pPr>
    </w:p>
    <w:p w:rsidR="000E347E" w:rsidRDefault="000E347E" w:rsidP="000E347E">
      <w:pPr>
        <w:spacing w:after="160" w:line="259" w:lineRule="auto"/>
      </w:pPr>
    </w:p>
    <w:p w:rsidR="000E347E" w:rsidRDefault="000E347E" w:rsidP="000E347E">
      <w:pPr>
        <w:spacing w:after="160" w:line="259" w:lineRule="auto"/>
      </w:pPr>
    </w:p>
    <w:p w:rsidR="000E347E" w:rsidRDefault="000E347E" w:rsidP="000E347E">
      <w:pPr>
        <w:spacing w:after="160" w:line="259" w:lineRule="auto"/>
      </w:pPr>
    </w:p>
    <w:p w:rsidR="000E347E" w:rsidRDefault="000E347E" w:rsidP="000E347E">
      <w:pPr>
        <w:spacing w:after="160" w:line="259" w:lineRule="auto"/>
      </w:pPr>
      <w:r>
        <w:br w:type="page"/>
      </w:r>
    </w:p>
    <w:p w:rsidR="000E347E" w:rsidRDefault="000E347E" w:rsidP="000E347E">
      <w:pPr>
        <w:spacing w:after="160" w:line="259" w:lineRule="auto"/>
      </w:pPr>
      <w:r w:rsidRPr="00CC20E8">
        <w:rPr>
          <w:b/>
          <w:bCs/>
        </w:rPr>
        <w:lastRenderedPageBreak/>
        <w:t>Supplementary Table 2: Difference in</w:t>
      </w:r>
      <w:r>
        <w:rPr>
          <w:b/>
          <w:bCs/>
        </w:rPr>
        <w:t xml:space="preserve"> Mayi Kuwayu preliminary phase</w:t>
      </w:r>
      <w:r w:rsidRPr="00CC20E8">
        <w:rPr>
          <w:b/>
          <w:bCs/>
        </w:rPr>
        <w:t xml:space="preserve"> response rates at 4 weeks and 15 weeks</w:t>
      </w:r>
      <w:r>
        <w:t>, strata with highest respond rates are shaded</w:t>
      </w:r>
    </w:p>
    <w:p w:rsidR="000E347E" w:rsidRDefault="000E347E" w:rsidP="000E347E">
      <w:pPr>
        <w:spacing w:after="160" w:line="259" w:lineRule="auto"/>
      </w:pPr>
    </w:p>
    <w:tbl>
      <w:tblPr>
        <w:tblW w:w="15730" w:type="dxa"/>
        <w:tblLayout w:type="fixed"/>
        <w:tblLook w:val="04A0" w:firstRow="1" w:lastRow="0" w:firstColumn="1" w:lastColumn="0" w:noHBand="0" w:noVBand="1"/>
      </w:tblPr>
      <w:tblGrid>
        <w:gridCol w:w="1027"/>
        <w:gridCol w:w="1095"/>
        <w:gridCol w:w="942"/>
        <w:gridCol w:w="1120"/>
        <w:gridCol w:w="1040"/>
        <w:gridCol w:w="772"/>
        <w:gridCol w:w="1134"/>
        <w:gridCol w:w="1012"/>
        <w:gridCol w:w="1017"/>
        <w:gridCol w:w="968"/>
        <w:gridCol w:w="774"/>
        <w:gridCol w:w="1017"/>
        <w:gridCol w:w="974"/>
        <w:gridCol w:w="1017"/>
        <w:gridCol w:w="970"/>
        <w:gridCol w:w="851"/>
      </w:tblGrid>
      <w:tr w:rsidR="000E347E" w:rsidRPr="00EA6AAF" w:rsidTr="00AA7389">
        <w:trPr>
          <w:trHeight w:val="600"/>
        </w:trPr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center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 </w:t>
            </w:r>
          </w:p>
        </w:tc>
        <w:tc>
          <w:tcPr>
            <w:tcW w:w="496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center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Major cities</w:t>
            </w:r>
          </w:p>
        </w:tc>
        <w:tc>
          <w:tcPr>
            <w:tcW w:w="490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center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Regional</w:t>
            </w:r>
          </w:p>
        </w:tc>
        <w:tc>
          <w:tcPr>
            <w:tcW w:w="482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center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Remote</w:t>
            </w:r>
          </w:p>
        </w:tc>
      </w:tr>
      <w:tr w:rsidR="000E347E" w:rsidRPr="00EA6AAF" w:rsidTr="00AA7389">
        <w:trPr>
          <w:trHeight w:val="458"/>
        </w:trPr>
        <w:tc>
          <w:tcPr>
            <w:tcW w:w="10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</w:p>
        </w:tc>
        <w:tc>
          <w:tcPr>
            <w:tcW w:w="496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</w:p>
        </w:tc>
        <w:tc>
          <w:tcPr>
            <w:tcW w:w="490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</w:p>
        </w:tc>
        <w:tc>
          <w:tcPr>
            <w:tcW w:w="482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</w:p>
        </w:tc>
      </w:tr>
      <w:tr w:rsidR="000E347E" w:rsidRPr="00EA6AAF" w:rsidTr="00AA7389">
        <w:trPr>
          <w:trHeight w:val="788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Segoe UI" w:eastAsia="Times New Roman" w:hAnsi="Segoe UI" w:cs="Segoe UI"/>
                <w:color w:val="201F1E"/>
                <w:sz w:val="22"/>
                <w:szCs w:val="22"/>
              </w:rPr>
            </w:pPr>
            <w:r w:rsidRPr="00EA6AAF">
              <w:rPr>
                <w:rFonts w:ascii="Segoe UI" w:eastAsia="Times New Roman" w:hAnsi="Segoe UI" w:cs="Segoe UI"/>
                <w:color w:val="201F1E"/>
                <w:sz w:val="22"/>
                <w:szCs w:val="22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Response rate at 4 weeks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95%CI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Response rate at 15 weeks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95%CI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br/>
              <w:t>15wk–4wk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Response rate at 4 weeks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95%CI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Response rate at 15 weeks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95%CI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br/>
              <w:t>15wk–4wk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Response rate at 4 weeks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95%CI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Response rate at 15 weeks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95%CI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br/>
              <w:t>15wk–4wk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Male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>
              <w:rPr>
                <w:b/>
                <w:bCs/>
                <w:color w:val="201F1E"/>
                <w:sz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>
              <w:rPr>
                <w:b/>
                <w:bCs/>
                <w:color w:val="201F1E"/>
                <w:sz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>
              <w:rPr>
                <w:b/>
                <w:bCs/>
                <w:color w:val="201F1E"/>
                <w:sz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>
              <w:rPr>
                <w:b/>
                <w:bCs/>
                <w:color w:val="201F1E"/>
                <w:sz w:val="2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color w:val="201F1E"/>
                <w:sz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color w:val="201F1E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color w:val="201F1E"/>
                <w:sz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color w:val="201F1E"/>
                <w:sz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color w:val="201F1E"/>
                <w:sz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color w:val="201F1E"/>
                <w:sz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color w:val="201F1E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color w:val="201F1E"/>
                <w:sz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 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color w:val="201F1E"/>
                <w:sz w:val="20"/>
              </w:rPr>
              <w:t>16-24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 xml:space="preserve"> 0.3–1.6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0.4–1.9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0.1–1.0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0.1–1.0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&lt;0.1–1.4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&lt;0.1–1.4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color w:val="201F1E"/>
                <w:sz w:val="20"/>
              </w:rPr>
              <w:t>25-34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0.4–1.8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0.8–2.6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0.3–1.3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0.4–1.5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&lt;0.1–1.4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0.1–1.7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color w:val="201F1E"/>
                <w:sz w:val="20"/>
              </w:rPr>
              <w:t>35-49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2.0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1.1–3.3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2.1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1.2–3.5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0.6–2.1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0.7–2.3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&lt;0.1–1.0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&lt;0.1–1.0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color w:val="201F1E"/>
                <w:sz w:val="20"/>
              </w:rPr>
              <w:t>≥50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5.2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3.7–7.0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6.0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4.4–7.9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5.2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3.9–6.8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6.0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4.6–7.6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2.0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1.0–3.6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2.0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1.0–3.6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color w:val="201F1E"/>
                <w:sz w:val="20"/>
              </w:rPr>
              <w:t>All male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2.1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1.7–2.8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000000"/>
                <w:sz w:val="20"/>
              </w:rPr>
              <w:t>2.7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000000"/>
                <w:sz w:val="20"/>
              </w:rPr>
              <w:t>2.1–3.3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1.8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1.4–2.3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2.1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1.7–2.6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0.8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0.5–1.3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000000"/>
                <w:sz w:val="20"/>
              </w:rPr>
              <w:t>0.5–1.3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Female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FF0000"/>
                <w:sz w:val="20"/>
              </w:rPr>
            </w:pPr>
            <w:r w:rsidRPr="00F817A6">
              <w:rPr>
                <w:color w:val="FF0000"/>
                <w:sz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FF0000"/>
                <w:sz w:val="20"/>
              </w:rPr>
            </w:pPr>
            <w:r w:rsidRPr="00F817A6">
              <w:rPr>
                <w:color w:val="FF0000"/>
                <w:sz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FF0000"/>
                <w:sz w:val="20"/>
              </w:rPr>
            </w:pPr>
            <w:r w:rsidRPr="00F817A6">
              <w:rPr>
                <w:color w:val="FF0000"/>
                <w:sz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FF0000"/>
                <w:sz w:val="20"/>
              </w:rPr>
            </w:pPr>
            <w:r w:rsidRPr="00F817A6">
              <w:rPr>
                <w:color w:val="FF0000"/>
                <w:sz w:val="2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FF0000"/>
                <w:sz w:val="20"/>
              </w:rPr>
            </w:pPr>
            <w:r w:rsidRPr="00F817A6">
              <w:rPr>
                <w:color w:val="FF0000"/>
                <w:sz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FF0000"/>
                <w:sz w:val="20"/>
              </w:rPr>
            </w:pPr>
            <w:r w:rsidRPr="00F817A6">
              <w:rPr>
                <w:color w:val="FF0000"/>
                <w:sz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 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color w:val="201F1E"/>
                <w:sz w:val="20"/>
              </w:rPr>
              <w:t>16-24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1.1–2.9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2.5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1.6–3.7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1.2–2.7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1.2–2.8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&lt;0.1–1.3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&lt;0.1–1.3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color w:val="201F1E"/>
                <w:sz w:val="20"/>
              </w:rPr>
              <w:t>25-34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0.6–2.2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1.0–2.7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0.7–2.0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0.7–2.1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&lt;0.1–1.0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&lt;0.1–1.0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color w:val="201F1E"/>
                <w:sz w:val="20"/>
              </w:rPr>
              <w:t>35-49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2.4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1.4–3.7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2.6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1.6–4.0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1.4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0.8–2.3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0.9–2.6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&lt;0.1–0.9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&lt;0.1–1.2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0.1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color w:val="201F1E"/>
                <w:sz w:val="20"/>
              </w:rPr>
              <w:t>≥50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5.0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3.6–6.6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5.5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4.1–7.2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5.1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3.9–6.6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6.2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4.9–7.7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1.1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1.7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D82FC0">
              <w:rPr>
                <w:color w:val="000000"/>
                <w:sz w:val="20"/>
              </w:rPr>
              <w:t>0.8–3.1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2.0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1.0–3.5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0.3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>
              <w:rPr>
                <w:rFonts w:ascii="Inherit" w:eastAsia="Times New Roman" w:hAnsi="Inherit" w:cs="Calibri"/>
                <w:color w:val="201F1E"/>
                <w:sz w:val="20"/>
              </w:rPr>
              <w:t xml:space="preserve">All </w:t>
            </w:r>
            <w:r w:rsidRPr="00EA6AAF">
              <w:rPr>
                <w:rFonts w:ascii="Inherit" w:eastAsia="Times New Roman" w:hAnsi="Inherit" w:cs="Calibri"/>
                <w:color w:val="201F1E"/>
                <w:sz w:val="20"/>
              </w:rPr>
              <w:t>female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D82FC0">
              <w:rPr>
                <w:color w:val="000000"/>
                <w:sz w:val="20"/>
              </w:rPr>
              <w:t>2.6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D82FC0">
              <w:rPr>
                <w:color w:val="000000"/>
                <w:sz w:val="20"/>
              </w:rPr>
              <w:t>2.1–3.1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3.0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2.5–3.7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D82FC0">
              <w:rPr>
                <w:color w:val="000000"/>
                <w:sz w:val="20"/>
              </w:rPr>
              <w:t>2.4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D82FC0">
              <w:rPr>
                <w:color w:val="000000"/>
                <w:sz w:val="20"/>
              </w:rPr>
              <w:t>2.0-2.9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000000"/>
                <w:sz w:val="20"/>
              </w:rPr>
              <w:t>2.8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000000"/>
                <w:sz w:val="20"/>
              </w:rPr>
              <w:t>2.3–3.3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D82FC0">
              <w:rPr>
                <w:color w:val="000000"/>
                <w:sz w:val="20"/>
              </w:rPr>
              <w:t>0.4–1.1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000000"/>
                <w:sz w:val="20"/>
              </w:rPr>
              <w:t>0.5–1.2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0.2</w:t>
            </w:r>
          </w:p>
        </w:tc>
      </w:tr>
      <w:tr w:rsidR="000E347E" w:rsidRPr="00EA6AAF" w:rsidTr="00AA7389">
        <w:trPr>
          <w:trHeight w:val="285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EA6AAF" w:rsidRDefault="000E347E" w:rsidP="00AA7389">
            <w:pPr>
              <w:spacing w:line="240" w:lineRule="auto"/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</w:pPr>
            <w:r w:rsidRPr="00EA6AAF">
              <w:rPr>
                <w:rFonts w:ascii="Inherit" w:eastAsia="Times New Roman" w:hAnsi="Inherit" w:cs="Calibri"/>
                <w:b/>
                <w:bCs/>
                <w:color w:val="201F1E"/>
                <w:sz w:val="20"/>
              </w:rPr>
              <w:t>TOTAL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2.5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2.2–3.1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2.9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000000"/>
                <w:sz w:val="20"/>
              </w:rPr>
              <w:t>2.5–3.3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2.2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1.9–2.5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000000"/>
                <w:sz w:val="20"/>
              </w:rPr>
              <w:t>2.5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000000"/>
                <w:sz w:val="20"/>
              </w:rPr>
              <w:t>2.2–2.9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0.7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0.5-1.0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201F1E"/>
                <w:sz w:val="20"/>
              </w:rPr>
            </w:pPr>
            <w:r w:rsidRPr="00F817A6">
              <w:rPr>
                <w:color w:val="201F1E"/>
                <w:sz w:val="20"/>
              </w:rPr>
              <w:t>0.6–1.1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47E" w:rsidRPr="00F817A6" w:rsidRDefault="000E347E" w:rsidP="00AA7389">
            <w:pPr>
              <w:spacing w:line="240" w:lineRule="auto"/>
              <w:jc w:val="right"/>
              <w:rPr>
                <w:rFonts w:ascii="Inherit" w:eastAsia="Times New Roman" w:hAnsi="Inherit" w:cs="Calibri"/>
                <w:color w:val="000000"/>
                <w:sz w:val="20"/>
              </w:rPr>
            </w:pPr>
            <w:r w:rsidRPr="00F817A6">
              <w:rPr>
                <w:color w:val="000000"/>
                <w:sz w:val="20"/>
              </w:rPr>
              <w:t>0.1</w:t>
            </w:r>
          </w:p>
        </w:tc>
      </w:tr>
    </w:tbl>
    <w:p w:rsidR="000E347E" w:rsidRPr="0070675F" w:rsidRDefault="000E347E" w:rsidP="000E347E"/>
    <w:p w:rsidR="00191FF4" w:rsidRDefault="00191FF4">
      <w:bookmarkStart w:id="0" w:name="_GoBack"/>
      <w:bookmarkEnd w:id="0"/>
    </w:p>
    <w:sectPr w:rsidR="00191FF4" w:rsidSect="00F7214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47E"/>
    <w:rsid w:val="000E347E"/>
    <w:rsid w:val="0019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BEC10D-7201-4DC2-A9AF-A7D975BAE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47E"/>
    <w:pPr>
      <w:spacing w:after="0" w:line="360" w:lineRule="auto"/>
    </w:pPr>
    <w:rPr>
      <w:rFonts w:ascii="Times New Roman" w:eastAsia="Times" w:hAnsi="Times New Roman" w:cs="Times New Roman"/>
      <w:sz w:val="24"/>
      <w:szCs w:val="20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347E"/>
    <w:pPr>
      <w:spacing w:after="0" w:line="240" w:lineRule="auto"/>
    </w:pPr>
    <w:rPr>
      <w:rFonts w:ascii="Times" w:eastAsia="Times" w:hAnsi="Times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0E347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347E"/>
    <w:rPr>
      <w:rFonts w:ascii="Times New Roman" w:eastAsia="Times" w:hAnsi="Times New Roman" w:cs="Times New Roman"/>
      <w:sz w:val="24"/>
      <w:szCs w:val="20"/>
      <w:lang w:eastAsia="en-AU"/>
    </w:rPr>
  </w:style>
  <w:style w:type="paragraph" w:styleId="NoSpacing">
    <w:name w:val="No Spacing"/>
    <w:uiPriority w:val="1"/>
    <w:qFormat/>
    <w:rsid w:val="000E347E"/>
    <w:pPr>
      <w:spacing w:after="0" w:line="240" w:lineRule="auto"/>
    </w:pPr>
    <w:rPr>
      <w:rFonts w:ascii="Times New Roman" w:eastAsia="Times" w:hAnsi="Times New Roman" w:cs="Times New Roman"/>
      <w:sz w:val="24"/>
      <w:szCs w:val="2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Australian National University</Company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Alyson Wright</dc:creator>
  <cp:keywords/>
  <dc:description/>
  <cp:lastModifiedBy>Alyson Wright</cp:lastModifiedBy>
  <cp:revision>1</cp:revision>
  <dcterms:created xsi:type="dcterms:W3CDTF">2019-11-22T02:45:00Z</dcterms:created>
  <dcterms:modified xsi:type="dcterms:W3CDTF">2019-11-22T02:47:00Z</dcterms:modified>
</cp:coreProperties>
</file>